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gridCol/>
        <w:gridCol/>
        <w:gridCol/>
      </w:tblGrid>
      <w:tblPr>
        <w:tblW w:w="0" w:type="auto"/>
        <w:tblLayout w:type="autofit"/>
        <w:bidiVisual w:val="0"/>
      </w:tblPr>
      <w:tr>
        <w:trPr>
          <w:tblHeader w:val="1"/>
        </w:trPr>
        <w:tc>
          <w:tcPr/>
          <w:p>
            <w:pPr/>
            <w:r>
              <w:rPr/>
              <w:t xml:space="preserve">التوافر</w:t>
            </w:r>
          </w:p>
        </w:tc>
        <w:tc>
          <w:tcPr/>
          <w:p>
            <w:pPr/>
            <w:r>
              <w:rPr/>
              <w:t xml:space="preserve">الجودة</w:t>
            </w:r>
          </w:p>
        </w:tc>
        <w:tc>
          <w:tcPr/>
          <w:p>
            <w:pPr/>
            <w:r>
              <w:rPr/>
              <w:t xml:space="preserve">إمكانية الحصول على الخدمات</w:t>
            </w:r>
          </w:p>
        </w:tc>
        <w:tc>
          <w:tcPr/>
          <w:p>
            <w:pPr/>
            <w:r>
              <w:rPr/>
              <w:t xml:space="preserve">التعليق</w:t>
            </w:r>
          </w:p>
        </w:tc>
        <w:tc>
          <w:tcPr/>
          <w:p>
            <w:pPr/>
            <w:r>
              <w:rPr/>
              <w:t xml:space="preserve">التدخلات</w:t>
            </w:r>
          </w:p>
        </w:tc>
      </w:tr>
      <w:tr>
        <w:trPr/>
        <w:tc>
          <w:tcPr/>
          <w:p>
            <w:pPr/>
            <w:r>
              <w:rPr/>
              <w:t xml:space="preserve">✓</w:t>
            </w:r>
          </w:p>
        </w:tc>
        <w:tc>
          <w:tcPr/>
          <w:p>
            <w:pPr/>
            <w:r>
              <w:rPr/>
              <w:t xml:space="preserve">✓</w:t>
            </w:r>
          </w:p>
        </w:tc>
        <w:tc>
          <w:tcPr/>
          <w:p>
            <w:pPr/>
            <w:r>
              <w:rPr/>
              <w:t xml:space="preserve">✓</w:t>
            </w:r>
          </w:p>
        </w:tc>
        <w:tc>
          <w:tcPr/>
          <w:p>
            <w:pPr/>
            <w:r>
              <w:rPr/>
              <w:t xml:space="preserve">في الحالات التي تكون فيها الهياكل العامة متاحة وشاملة وسهلة الوصول بالنسبة للعائدين لا يحتاج الأمر إلى تدخلات عاجلة. </w:t>
            </w:r>
          </w:p>
        </w:tc>
        <w:tc>
          <w:tcPr/>
          <w:p>
            <w:pPr>
              <w:numPr>
                <w:ilvl w:val="0"/>
                <w:numId w:val="1"/>
              </w:numPr>
            </w:pPr>
            <w:r>
              <w:rPr/>
              <w:t xml:space="preserve">تحسيس السكان المحليين من غير المهاجرين بأن العائدين لا ينتقصون من الموارد المتاحة لهم؛ </w:t>
            </w:r>
          </w:p>
          <w:p>
            <w:pPr>
              <w:numPr>
                <w:ilvl w:val="0"/>
                <w:numId w:val="1"/>
              </w:numPr>
            </w:pPr>
            <w:r>
              <w:rPr/>
              <w:t xml:space="preserve">السهر على أن تكون لدى العائدين معرفة شاملة بملفات خدمات الهياكل الأساسية العادية.</w:t>
            </w:r>
          </w:p>
        </w:tc>
      </w:tr>
      <w:tr>
        <w:trPr/>
        <w:tc>
          <w:tcPr/>
          <w:p>
            <w:pPr/>
            <w:r>
              <w:rPr/>
              <w:t xml:space="preserve">✓</w:t>
            </w:r>
          </w:p>
        </w:tc>
        <w:tc>
          <w:tcPr/>
          <w:p>
            <w:pPr/>
            <w:r>
              <w:rPr/>
              <w:t xml:space="preserve">✓</w:t>
            </w:r>
          </w:p>
        </w:tc>
        <w:tc>
          <w:tcPr/>
          <w:p>
            <w:pPr/>
            <w:r>
              <w:rPr/>
              <w:t xml:space="preserve">X</w:t>
            </w:r>
          </w:p>
        </w:tc>
      </w:tr>
      <w:tr>
        <w:trPr/>
        <w:tc>
          <w:tcPr/>
          <w:p>
            <w:pPr/>
            <w:r>
              <w:rPr/>
              <w:t xml:space="preserve">يفتقر العائدون للوثائق اللازمة.</w:t>
            </w:r>
          </w:p>
        </w:tc>
        <w:tc>
          <w:tcPr/>
          <w:p>
            <w:pPr>
              <w:numPr>
                <w:ilvl w:val="0"/>
                <w:numId w:val="2"/>
              </w:numPr>
            </w:pPr>
            <w:r>
              <w:rPr/>
              <w:t xml:space="preserve">تقييم الحواجز التي تحول دون الخدمات والمرتبطة بالافتقار لوثائق الحالة المدنية؛</w:t>
            </w:r>
          </w:p>
          <w:p>
            <w:pPr>
              <w:numPr>
                <w:ilvl w:val="0"/>
                <w:numId w:val="2"/>
              </w:numPr>
            </w:pPr>
            <w:r>
              <w:rPr/>
              <w:t xml:space="preserve">تيسير إصدار الوثائق للعائدين.</w:t>
            </w:r>
          </w:p>
        </w:tc>
      </w:tr>
      <w:tr>
        <w:trPr/>
        <w:tc>
          <w:tcPr/>
          <w:p>
            <w:pPr/>
            <w:r>
              <w:rPr/>
              <w:t xml:space="preserve">افتقار العائدين للمعلومات عن إمكانية الوصول إلى الخدمات العامة.</w:t>
            </w:r>
          </w:p>
        </w:tc>
        <w:tc>
          <w:tcPr/>
          <w:p>
            <w:pPr>
              <w:numPr>
                <w:ilvl w:val="0"/>
                <w:numId w:val="3"/>
              </w:numPr>
            </w:pPr>
            <w:r>
              <w:rPr/>
              <w:t xml:space="preserve">تصميم آليات لإبلاغ العائدين بوجود الخدمات العامة وكامل طيف مجموعة الخدمات؛</w:t>
            </w:r>
          </w:p>
          <w:p>
            <w:pPr>
              <w:numPr>
                <w:ilvl w:val="0"/>
                <w:numId w:val="3"/>
              </w:numPr>
            </w:pPr>
            <w:r>
              <w:rPr/>
              <w:t xml:space="preserve">تصميم آليات لإبلاغ العائدين بحقوقهم في الحصول على الخدمات العامة، وحول الخطوات الإدارية اللازمة، وأية إجراءات أخرى ذات صلة.</w:t>
            </w:r>
          </w:p>
        </w:tc>
      </w:tr>
      <w:tr>
        <w:trPr/>
        <w:tc>
          <w:tcPr/>
          <w:p>
            <w:pPr/>
            <w:r>
              <w:rPr/>
              <w:t xml:space="preserve">الموظفون ليسوا مدربين تدريباً ملائماً لمعالجة احتياجات العائدين المحددة في مجال إعادة الإدماج.</w:t>
            </w:r>
          </w:p>
        </w:tc>
        <w:tc>
          <w:tcPr/>
          <w:p>
            <w:pPr>
              <w:numPr>
                <w:ilvl w:val="0"/>
                <w:numId w:val="4"/>
              </w:numPr>
            </w:pPr>
            <w:r>
              <w:rPr/>
              <w:t xml:space="preserve">إنفاذ بناء قدرات الموظفين في الأجل القصير فيما يتصل بالهياكل الأساسية العادية لتحسيسهم بالاحتياجات والتحديات الخاصة بالعائدين وأفضل الممارسات لإدماجهم في سير عمل توفير الخدمات.</w:t>
            </w:r>
          </w:p>
          <w:p>
            <w:pPr>
              <w:numPr>
                <w:ilvl w:val="0"/>
                <w:numId w:val="4"/>
              </w:numPr>
            </w:pPr>
            <w:r>
              <w:rPr/>
              <w:t xml:space="preserve">تعيين جهات وصل محددة (مثل "مكاتب العائدين") في المؤسسات الحيوية في المناطق ذات معدلات العودة المرتفعة.</w:t>
            </w:r>
          </w:p>
        </w:tc>
      </w:tr>
      <w:tr>
        <w:trPr/>
        <w:tc>
          <w:tcPr/>
          <w:p>
            <w:pPr/>
            <w:r>
              <w:rPr/>
              <w:t xml:space="preserve">✓</w:t>
            </w:r>
          </w:p>
        </w:tc>
        <w:tc>
          <w:tcPr/>
          <w:p>
            <w:pPr/>
            <w:r>
              <w:rPr/>
              <w:t xml:space="preserve">X</w:t>
            </w:r>
          </w:p>
        </w:tc>
        <w:tc>
          <w:tcPr/>
          <w:p>
            <w:pPr/>
            <w:r>
              <w:rPr/>
              <w:t xml:space="preserve">X</w:t>
            </w:r>
          </w:p>
        </w:tc>
      </w:tr>
      <w:tr>
        <w:trPr/>
        <w:tc>
          <w:tcPr/>
          <w:p>
            <w:pPr/>
            <w:r>
              <w:rPr/>
              <w:t xml:space="preserve">الخدمات كافية من حيث الجودة بالنسبة للسكان من غير المهاجرين ولكنها تُقصّر في معالجة احتياجات العائدين الخاصة. </w:t>
            </w:r>
          </w:p>
        </w:tc>
        <w:tc>
          <w:tcPr/>
          <w:p>
            <w:pPr>
              <w:numPr>
                <w:ilvl w:val="0"/>
                <w:numId w:val="5"/>
              </w:numPr>
            </w:pPr>
            <w:r>
              <w:rPr/>
              <w:t xml:space="preserve">النظر في الخيارات لتوسيع أو (المشاركة في) تطوير هياكل أساسية محددة (مثل إدماج العائدين في سير عمل مراكز الموارد والاستجابة القائمة بالفعل المعنية بالهجرة).</w:t>
            </w:r>
          </w:p>
          <w:p>
            <w:pPr>
              <w:numPr>
                <w:ilvl w:val="0"/>
                <w:numId w:val="5"/>
              </w:numPr>
            </w:pPr>
            <w:r>
              <w:rPr/>
              <w:t xml:space="preserve">المشاركة مع موظفي الإدارة في الهيكل الأساسي العادي لمعالجة عدم وفاء مسارات الخدمات المحددة بغرض تلبية احتياجات العائدين؛</w:t>
            </w:r>
          </w:p>
          <w:p>
            <w:pPr>
              <w:numPr>
                <w:ilvl w:val="0"/>
                <w:numId w:val="5"/>
              </w:numPr>
            </w:pPr>
            <w:r>
              <w:rPr/>
              <w:t xml:space="preserve">إنفاذ استراتيجية لتطوير الخدمات وأنشطة بناء القدرات لتحسين مجموعات الخدمات لصالح العائدين. ولا بد من الاهتمام بعدم ترك انطباع منح المهاجرين العائدين معاملة تفضيلية مقارنة مع السكان المحليين من غير المهاجرين؛ </w:t>
            </w:r>
          </w:p>
          <w:p>
            <w:pPr>
              <w:numPr>
                <w:ilvl w:val="0"/>
                <w:numId w:val="5"/>
              </w:numPr>
            </w:pPr>
            <w:r>
              <w:rPr/>
              <w:t xml:space="preserve">•	تنفيذ شراكات لتوفير الخدمات (التشغيل، تقاسم التكاليف، وما إلى ذلك).</w:t>
            </w:r>
          </w:p>
        </w:tc>
      </w:tr>
      <w:tr>
        <w:trPr/>
        <w:tc>
          <w:tcPr/>
          <w:p>
            <w:pPr/>
            <w:r>
              <w:rPr/>
              <w:t xml:space="preserve">الخدمة لا تفي بالغرض بالنسبة لكل من السكان غير المهاجرين والعائدين. </w:t>
            </w:r>
          </w:p>
        </w:tc>
        <w:tc>
          <w:tcPr/>
          <w:p>
            <w:pPr>
              <w:numPr>
                <w:ilvl w:val="0"/>
                <w:numId w:val="6"/>
              </w:numPr>
            </w:pPr>
            <w:r>
              <w:rPr/>
              <w:t xml:space="preserve">المشاركة مع موظفي الإدارة في الهياكل الأساسية العادية لاستنباط استراتيجيات ترمي إلى معالجة عدم وفاء تدفقات الخدمات المحددة بالغرض؛</w:t>
            </w:r>
          </w:p>
          <w:p>
            <w:pPr>
              <w:numPr>
                <w:ilvl w:val="0"/>
                <w:numId w:val="6"/>
              </w:numPr>
            </w:pPr>
            <w:r>
              <w:rPr/>
              <w:t xml:space="preserve">تنفيذ استراتيجية لتطوير الخدمات وخلق أنشطة لبناء القدرات من أجل تحسين مجموعات الخدمات للعائدين والسكان من غير المهاجرين على حد سواء؛</w:t>
            </w:r>
          </w:p>
          <w:p>
            <w:pPr>
              <w:numPr>
                <w:ilvl w:val="0"/>
                <w:numId w:val="6"/>
              </w:numPr>
            </w:pPr>
            <w:r>
              <w:rPr/>
              <w:t xml:space="preserve">تنفيذ شراكات من أجل توفير الخدمات (التشغيل، تقاسم التكاليف، وما إلى ذلك)، بقدر ما تسمح به عملياً ميزانية إعادة الإدماج. وللعديد من مشاريع إعادة الإدماج مدة محدودة، ما يعني أن اتفاقات تقاسم التكاليف سوف تحتاج عموماً إلى إنهاء تدريجي على مراحل بعد فترة معينة من الزمن. وبالتالي من الأساسي تحديد استراتيجيات تمويل مستدامة في الأجل الطويل منذ البداية.</w:t>
            </w:r>
          </w:p>
        </w:tc>
      </w:tr>
      <w:tr>
        <w:trPr/>
        <w:tc>
          <w:tcPr/>
          <w:p>
            <w:pPr/>
            <w:r>
              <w:rPr/>
              <w:t xml:space="preserve">X</w:t>
            </w:r>
          </w:p>
        </w:tc>
        <w:tc>
          <w:tcPr/>
          <w:p>
            <w:pPr/>
            <w:r>
              <w:rPr/>
              <w:t xml:space="preserve">X</w:t>
            </w:r>
          </w:p>
        </w:tc>
        <w:tc>
          <w:tcPr/>
          <w:p>
            <w:pPr/>
            <w:r>
              <w:rPr/>
              <w:t xml:space="preserve">X</w:t>
            </w:r>
          </w:p>
        </w:tc>
        <w:tc>
          <w:tcPr/>
          <w:p>
            <w:pPr/>
            <w:r>
              <w:rPr/>
              <w:t xml:space="preserve">الخدمات العادية بأكملها (الرعاية الصحية، التعليم، الحماية الاجتماعية) غير متاحة في الإقليم المحلي.</w:t>
            </w:r>
          </w:p>
        </w:tc>
        <w:tc>
          <w:tcPr/>
          <w:p>
            <w:pPr>
              <w:numPr>
                <w:ilvl w:val="0"/>
                <w:numId w:val="7"/>
              </w:numPr>
            </w:pPr>
            <w:r>
              <w:rPr/>
              <w:t xml:space="preserve">المشاركة مع النظراء على المستوى الوطني وغيرهم من الشركاء في التنمية الدولية لاستكشاف خيارات جعل الهياكل الأساسية العادية الناقصة متوفرة في الإقليم المحلي المعيّن؛</w:t>
            </w:r>
          </w:p>
          <w:p>
            <w:pPr>
              <w:numPr>
                <w:ilvl w:val="0"/>
                <w:numId w:val="7"/>
              </w:numPr>
            </w:pPr>
            <w:r>
              <w:rPr/>
              <w:t xml:space="preserve">استكشاف خيارات التعاون مع الشركاء الآخرين في التنمية الدولية لتوفير الخبرة التقنية والدعم التنظيمي والتمويل لخلق الهياكل الأساسية العادية اللازمة؛</w:t>
            </w:r>
          </w:p>
          <w:p>
            <w:pPr>
              <w:numPr>
                <w:ilvl w:val="0"/>
                <w:numId w:val="7"/>
              </w:numPr>
            </w:pPr>
            <w:r>
              <w:rPr/>
              <w:t xml:space="preserve">إدراج خدمات إعادة الإدماج لصالح العائدين في سير عمل الهياكل الأساسية المحلية الجديدة.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FB1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46F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754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FC78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7AD3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F8DA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D105D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2024-11-15T08:24:42+01:00</dcterms:created>
  <dcterms:modified xsi:type="dcterms:W3CDTF">2024-11-15T08:24:42+01:00</dcterms:modified>
</cp:coreProperties>
</file>

<file path=docProps/custom.xml><?xml version="1.0" encoding="utf-8"?>
<Properties xmlns="http://schemas.openxmlformats.org/officeDocument/2006/custom-properties" xmlns:vt="http://schemas.openxmlformats.org/officeDocument/2006/docPropsVTypes"/>
</file>